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1976DC" w14:textId="6C52C9CF" w:rsidR="009D3DF6" w:rsidRPr="007856F3" w:rsidRDefault="00696449">
      <w:pPr>
        <w:pStyle w:val="Titolo3"/>
        <w:rPr>
          <w:rFonts w:ascii="Helvetica" w:hAnsi="Helvetica"/>
          <w:color w:val="1F497D" w:themeColor="text2"/>
          <w:sz w:val="28"/>
          <w:szCs w:val="28"/>
        </w:rPr>
      </w:pPr>
      <w:bookmarkStart w:id="0" w:name="X79c74f320fca3666b29b0f29355f703055bcd6c"/>
      <w:bookmarkStart w:id="1" w:name="X92f1b86402b79fbd35922e2cf316920c9cea780"/>
      <w:bookmarkStart w:id="2" w:name="X0638194232645b97b1d9d0a17f6ffd38754b236"/>
      <w:r>
        <w:rPr>
          <w:rFonts w:ascii="Helvetica" w:hAnsi="Helvetica"/>
          <w:color w:val="1F497D" w:themeColor="text2"/>
          <w:sz w:val="28"/>
          <w:szCs w:val="28"/>
        </w:rPr>
        <w:t>Technoprobe joins the FTSE MIB: AI enters the Piazza Affari Blue Chip index</w:t>
      </w:r>
    </w:p>
    <w:p w14:paraId="6AF19C48" w14:textId="76AB5BE0" w:rsidR="009D3DF6" w:rsidRPr="00FB5BF9" w:rsidRDefault="00696449">
      <w:pPr>
        <w:pStyle w:val="FirstParagraph"/>
        <w:rPr>
          <w:rFonts w:ascii="Helvetica" w:hAnsi="Helvetica"/>
        </w:rPr>
      </w:pPr>
      <w:r w:rsidRPr="00A54C50">
        <w:rPr>
          <w:rFonts w:ascii="Helvetica" w:hAnsi="Helvetica"/>
          <w:i/>
          <w:iCs/>
        </w:rPr>
        <w:t>Cernusco Lombardone, 3 September 2026</w:t>
      </w:r>
      <w:r>
        <w:rPr>
          <w:rFonts w:ascii="Helvetica" w:hAnsi="Helvetica"/>
          <w:b/>
          <w:bCs/>
        </w:rPr>
        <w:t xml:space="preserve"> — </w:t>
      </w:r>
      <w:r>
        <w:rPr>
          <w:rFonts w:ascii="Helvetica" w:hAnsi="Helvetica"/>
        </w:rPr>
        <w:t xml:space="preserve">Technoprobe S.p.A., the global leader in the design and production of probe cards for semiconductor testing, officially joins the FTSE MIB, the index of </w:t>
      </w:r>
      <w:r w:rsidRPr="00A54C50">
        <w:rPr>
          <w:rFonts w:ascii="Helvetica" w:hAnsi="Helvetica"/>
          <w:b/>
          <w:bCs/>
        </w:rPr>
        <w:t>the 40 largest companies listed on Piazza Affari</w:t>
      </w:r>
      <w:r>
        <w:rPr>
          <w:rFonts w:ascii="Helvetica" w:hAnsi="Helvetica"/>
        </w:rPr>
        <w:t>. The inclusion, announced yesterday by FTSE Russell as part of the quarterly index review, will take effect on 21 September 2026.</w:t>
      </w:r>
    </w:p>
    <w:p w14:paraId="52055621" w14:textId="6177832D" w:rsidR="009D3DF6" w:rsidRPr="00FB5BF9" w:rsidRDefault="00696449">
      <w:pPr>
        <w:pStyle w:val="Corpotesto"/>
        <w:rPr>
          <w:rFonts w:ascii="Helvetica" w:hAnsi="Helvetica"/>
        </w:rPr>
      </w:pPr>
      <w:r>
        <w:rPr>
          <w:rFonts w:ascii="Helvetica" w:hAnsi="Helvetica"/>
        </w:rPr>
        <w:t>This is an important milestone for the Italian technology industry: Technoprobe, a company directly exposed to the semiconductor, microelectronics and artificial intelligence cycle, enters the main index of the Italian Stock Exchange alongside the other major names in finance, energy and manufacturing that traditionally make up the index.</w:t>
      </w:r>
    </w:p>
    <w:p w14:paraId="31C614C5" w14:textId="1EC1C394" w:rsidR="009D3DF6" w:rsidRPr="00FB5BF9" w:rsidRDefault="00696449">
      <w:pPr>
        <w:pStyle w:val="Corpotesto"/>
        <w:rPr>
          <w:rFonts w:ascii="Helvetica" w:hAnsi="Helvetica"/>
        </w:rPr>
      </w:pPr>
      <w:r>
        <w:rPr>
          <w:rFonts w:ascii="Helvetica" w:hAnsi="Helvetica"/>
        </w:rPr>
        <w:t>Technoprobe’s path toward this result began in February 2022, with its listing on Euronext Growth Milan at €5.70 per share, followed in May 2023 by its move to the Euronext Milan main market. Since then, the stock has recorded significant growth, driven by business expansion fuelled by booming demand for AI chips: last 5 August, the company raised its full-year guidance for the second time in 2026, bringing the revenue target to a range of €1,050-1,100 million with an expected EBITDA margin of 46-48%.</w:t>
      </w:r>
    </w:p>
    <w:p w14:paraId="10064AB6" w14:textId="739BEF83" w:rsidR="00316407" w:rsidRDefault="00316407">
      <w:pPr>
        <w:pStyle w:val="Corpotesto"/>
        <w:rPr>
          <w:rFonts w:ascii="Helvetica" w:hAnsi="Helvetica"/>
        </w:rPr>
      </w:pPr>
      <w:r>
        <w:rPr>
          <w:rFonts w:ascii="Helvetica" w:hAnsi="Helvetica"/>
        </w:rPr>
        <w:t xml:space="preserve">The company was founded in 1996 by </w:t>
      </w:r>
      <w:r>
        <w:rPr>
          <w:rFonts w:ascii="Helvetica" w:hAnsi="Helvetica"/>
          <w:b/>
          <w:bCs/>
        </w:rPr>
        <w:t>Giuseppe Crippa</w:t>
      </w:r>
      <w:r>
        <w:rPr>
          <w:rFonts w:ascii="Helvetica" w:hAnsi="Helvetica"/>
        </w:rPr>
        <w:t>, who passed away on 5 July 2025 at the age of 90, after a long career at STMicroelectronics and the decision, in 1995, to devote himself full-time to the entrepreneurial project he had started years earlier in his spare time.</w:t>
      </w:r>
    </w:p>
    <w:p w14:paraId="7CE82C5C" w14:textId="2F98CE46" w:rsidR="009D3DF6" w:rsidRDefault="00316407">
      <w:pPr>
        <w:pStyle w:val="Corpotesto"/>
        <w:rPr>
          <w:rFonts w:ascii="Helvetica" w:hAnsi="Helvetica"/>
        </w:rPr>
      </w:pPr>
      <w:r>
        <w:rPr>
          <w:rFonts w:ascii="Helvetica" w:hAnsi="Helvetica"/>
        </w:rPr>
        <w:t>30 years on, Technoprobe is today the world’s leading producer of probe cards, the high-technology devices used to test chip functionality during the manufacturing process and in the testing stages that precede packaging. Headquartered in Cernusco Lombardone, in the province of Lecco, the group today has around 4,000 employees, more than 650 proprietary patents, and a manufacturing and commercial presence in eleven countries across three continents, including France, Germany, the United States, China, Taiwan, South Korea, Japan, the Philippines, Malaysia and Singapore.</w:t>
      </w:r>
    </w:p>
    <w:p w14:paraId="47BCE212" w14:textId="77777777" w:rsidR="00910570" w:rsidRPr="00FB5BF9" w:rsidRDefault="00910570">
      <w:pPr>
        <w:pStyle w:val="Corpotesto"/>
        <w:rPr>
          <w:rFonts w:ascii="Helvetica" w:hAnsi="Helvetica"/>
        </w:rPr>
      </w:pPr>
    </w:p>
    <w:p w14:paraId="71FACA58" w14:textId="3CF3CC21" w:rsidR="009D3DF6" w:rsidRPr="00FB5BF9" w:rsidRDefault="00696449">
      <w:pPr>
        <w:pStyle w:val="Corpotesto"/>
        <w:rPr>
          <w:rFonts w:ascii="Helvetica" w:hAnsi="Helvetica"/>
        </w:rPr>
      </w:pPr>
      <w:r>
        <w:rPr>
          <w:rFonts w:ascii="Helvetica" w:hAnsi="Helvetica"/>
          <w:i/>
          <w:iCs/>
        </w:rPr>
        <w:t>“Joining the FTSE MIB is an achievement that belongs, first and foremost, to the people who work at Technoprobe every day, in Italy and around the world. It is also the best way to honour the vision of Giuseppe Crippa, who thirty years ago bet on an idea and turned it into a global excellence starting from this territory. Today that bet enters the forty most significant companies on the Italian Stock Exchange: for us, this is a starting point, not a finish line, and we will keep investing with the same discipline and the same care for the people who got us here.”</w:t>
      </w:r>
      <w:r>
        <w:rPr>
          <w:rFonts w:ascii="Helvetica" w:hAnsi="Helvetica"/>
        </w:rPr>
        <w:t xml:space="preserve"> </w:t>
      </w:r>
      <w:r>
        <w:rPr>
          <w:rFonts w:ascii="Helvetica" w:hAnsi="Helvetica"/>
          <w:i/>
          <w:iCs/>
        </w:rPr>
        <w:t>— Stefano Felici, Chief Executive Officer of Technoprobe</w:t>
      </w:r>
    </w:p>
    <w:p w14:paraId="2D54E6B0" w14:textId="363CDCDD" w:rsidR="009D3DF6" w:rsidRPr="00FB5BF9" w:rsidRDefault="00696449">
      <w:pPr>
        <w:pStyle w:val="Corpotesto"/>
        <w:rPr>
          <w:rFonts w:ascii="Helvetica" w:hAnsi="Helvetica"/>
        </w:rPr>
      </w:pPr>
      <w:r>
        <w:rPr>
          <w:rFonts w:ascii="Helvetica" w:hAnsi="Helvetica"/>
        </w:rPr>
        <w:t>Joining the FTSE MIB strengthens Technoprobe’s visibility within the international financial community and demonstrates the ability of the Italian industrial system to produce global technology champions, even in a sector — semiconductors — historically dominated by Asian and US players.</w:t>
      </w:r>
    </w:p>
    <w:p w14:paraId="67EA68F6" w14:textId="77777777" w:rsidR="00FB5BF9" w:rsidRPr="00FB5BF9" w:rsidRDefault="00FB5BF9">
      <w:pPr>
        <w:pStyle w:val="Corpotesto"/>
        <w:rPr>
          <w:rFonts w:ascii="Helvetica" w:hAnsi="Helvetica"/>
        </w:rPr>
      </w:pPr>
    </w:p>
    <w:p w14:paraId="1FE93ECF" w14:textId="46007A8C" w:rsidR="00FB5BF9" w:rsidRPr="00FB5BF9" w:rsidRDefault="00FB5BF9" w:rsidP="00FB5BF9">
      <w:pPr>
        <w:rPr>
          <w:rFonts w:ascii="Helvetica" w:hAnsi="Helvetica"/>
          <w:b/>
          <w:bCs/>
        </w:rPr>
      </w:pPr>
      <w:bookmarkStart w:id="3" w:name="note-per-chi-userà-questa-bozza"/>
      <w:bookmarkEnd w:id="0"/>
      <w:bookmarkEnd w:id="1"/>
      <w:bookmarkEnd w:id="2"/>
      <w:bookmarkEnd w:id="3"/>
      <w:r>
        <w:rPr>
          <w:rFonts w:ascii="Helvetica" w:hAnsi="Helvetica"/>
          <w:b/>
          <w:bCs/>
        </w:rPr>
        <w:t xml:space="preserve">Contacts </w:t>
      </w:r>
    </w:p>
    <w:p w14:paraId="282E51C3" w14:textId="5841143A" w:rsidR="00FB5BF9" w:rsidRPr="00FB5BF9" w:rsidRDefault="00FB5BF9" w:rsidP="00FB5BF9">
      <w:pPr>
        <w:rPr>
          <w:rFonts w:ascii="Helvetica" w:hAnsi="Helvetica"/>
        </w:rPr>
      </w:pPr>
      <w:r>
        <w:rPr>
          <w:rFonts w:ascii="Helvetica" w:hAnsi="Helvetica"/>
        </w:rPr>
        <w:t xml:space="preserve">Communication &amp; Marketing Manager </w:t>
      </w:r>
      <w:r>
        <w:rPr>
          <w:rFonts w:ascii="Helvetica" w:hAnsi="Helvetica"/>
        </w:rPr>
        <w:br/>
        <w:t xml:space="preserve">Paolo Cavallotti </w:t>
      </w:r>
      <w:r>
        <w:rPr>
          <w:rFonts w:ascii="Helvetica" w:hAnsi="Helvetica"/>
        </w:rPr>
        <w:br/>
        <w:t xml:space="preserve">Email: </w:t>
      </w:r>
      <w:hyperlink r:id="rId8" w:history="1">
        <w:r>
          <w:rPr>
            <w:rStyle w:val="Collegamentoipertestuale"/>
            <w:rFonts w:ascii="Helvetica" w:hAnsi="Helvetica"/>
          </w:rPr>
          <w:t>press@technoprobe.com</w:t>
        </w:r>
      </w:hyperlink>
      <w:r>
        <w:rPr>
          <w:rFonts w:ascii="Helvetica" w:hAnsi="Helvetica"/>
        </w:rPr>
        <w:t xml:space="preserve"> </w:t>
      </w:r>
      <w:r>
        <w:rPr>
          <w:rFonts w:ascii="Helvetica" w:hAnsi="Helvetica"/>
        </w:rPr>
        <w:br/>
        <w:t>Mob. +39 342 515 5261</w:t>
      </w:r>
    </w:p>
    <w:p w14:paraId="5CFE6A22" w14:textId="320839AC" w:rsidR="00FB5BF9" w:rsidRDefault="00FB5BF9" w:rsidP="00FB5BF9">
      <w:pPr>
        <w:rPr>
          <w:rFonts w:ascii="Helvetica" w:hAnsi="Helvetica"/>
        </w:rPr>
      </w:pPr>
      <w:r>
        <w:rPr>
          <w:rFonts w:ascii="Helvetica" w:hAnsi="Helvetica"/>
        </w:rPr>
        <w:t>Investor Relator</w:t>
      </w:r>
      <w:r>
        <w:rPr>
          <w:rFonts w:ascii="Helvetica" w:hAnsi="Helvetica"/>
        </w:rPr>
        <w:br/>
        <w:t>Ines Di Terlizzi</w:t>
      </w:r>
      <w:r>
        <w:rPr>
          <w:rFonts w:ascii="Helvetica" w:hAnsi="Helvetica"/>
        </w:rPr>
        <w:br/>
        <w:t xml:space="preserve">Email: </w:t>
      </w:r>
      <w:hyperlink r:id="rId9" w:history="1">
        <w:r>
          <w:rPr>
            <w:rStyle w:val="Collegamentoipertestuale"/>
            <w:rFonts w:ascii="Helvetica" w:hAnsi="Helvetica"/>
          </w:rPr>
          <w:t>ir@technoprobe.com</w:t>
        </w:r>
      </w:hyperlink>
      <w:r>
        <w:rPr>
          <w:rFonts w:ascii="Helvetica" w:hAnsi="Helvetica"/>
        </w:rPr>
        <w:t xml:space="preserve"> </w:t>
      </w:r>
    </w:p>
    <w:p w14:paraId="55131367" w14:textId="77777777" w:rsidR="00A54C50" w:rsidRDefault="00A54C50" w:rsidP="00FB5BF9">
      <w:pPr>
        <w:rPr>
          <w:rFonts w:ascii="Helvetica" w:hAnsi="Helvetica"/>
        </w:rPr>
      </w:pPr>
    </w:p>
    <w:p w14:paraId="1E2E2787" w14:textId="66D2B7AD" w:rsidR="008E0D16" w:rsidRDefault="008E0D16" w:rsidP="008E0D16">
      <w:pPr>
        <w:rPr>
          <w:rFonts w:ascii="Helvetica" w:hAnsi="Helvetica"/>
          <w:b/>
          <w:bCs/>
          <w:lang w:val="it-IT"/>
        </w:rPr>
      </w:pPr>
      <w:proofErr w:type="spellStart"/>
      <w:r>
        <w:rPr>
          <w:rFonts w:ascii="Helvetica" w:hAnsi="Helvetica"/>
          <w:b/>
          <w:bCs/>
          <w:lang w:val="it-IT"/>
        </w:rPr>
        <w:t>Photos</w:t>
      </w:r>
      <w:proofErr w:type="spellEnd"/>
      <w:r w:rsidRPr="009A646F">
        <w:rPr>
          <w:rFonts w:ascii="Helvetica" w:hAnsi="Helvetica"/>
          <w:b/>
          <w:bCs/>
          <w:lang w:val="it-IT"/>
        </w:rPr>
        <w:t xml:space="preserve"> </w:t>
      </w:r>
    </w:p>
    <w:p w14:paraId="6BAF35FD" w14:textId="1CE20071" w:rsidR="008E0D16" w:rsidRDefault="008E0D16" w:rsidP="008E0D16">
      <w:pPr>
        <w:rPr>
          <w:rFonts w:ascii="Helvetica" w:hAnsi="Helvetica"/>
          <w:lang w:val="it-IT"/>
        </w:rPr>
      </w:pPr>
      <w:hyperlink r:id="rId10" w:history="1">
        <w:proofErr w:type="spellStart"/>
        <w:r w:rsidR="000F697F">
          <w:rPr>
            <w:rStyle w:val="Collegamentoipertestuale"/>
            <w:rFonts w:ascii="Helvetica" w:hAnsi="Helvetica"/>
            <w:lang w:val="it-IT"/>
          </w:rPr>
          <w:t>Photos</w:t>
        </w:r>
        <w:proofErr w:type="spellEnd"/>
        <w:r w:rsidR="000F697F">
          <w:rPr>
            <w:rStyle w:val="Collegamentoipertestuale"/>
            <w:rFonts w:ascii="Helvetica" w:hAnsi="Helvetica"/>
            <w:lang w:val="it-IT"/>
          </w:rPr>
          <w:t xml:space="preserve"> of </w:t>
        </w:r>
        <w:proofErr w:type="spellStart"/>
        <w:r w:rsidR="000F697F">
          <w:rPr>
            <w:rStyle w:val="Collegamentoipertestuale"/>
            <w:rFonts w:ascii="Helvetica" w:hAnsi="Helvetica"/>
            <w:lang w:val="it-IT"/>
          </w:rPr>
          <w:t>Technoprobe</w:t>
        </w:r>
        <w:proofErr w:type="spellEnd"/>
      </w:hyperlink>
    </w:p>
    <w:p w14:paraId="3BB723D8" w14:textId="566BCCB7" w:rsidR="008E0D16" w:rsidRPr="00F65DCB" w:rsidRDefault="008E0D16" w:rsidP="008E0D16">
      <w:pPr>
        <w:rPr>
          <w:rFonts w:ascii="Helvetica" w:hAnsi="Helvetica"/>
          <w:lang w:val="it-IT"/>
        </w:rPr>
      </w:pPr>
      <w:hyperlink r:id="rId11" w:history="1">
        <w:proofErr w:type="spellStart"/>
        <w:r w:rsidR="000F697F">
          <w:rPr>
            <w:rStyle w:val="Collegamentoipertestuale"/>
            <w:rFonts w:ascii="Helvetica" w:hAnsi="Helvetica"/>
            <w:lang w:val="it-IT"/>
          </w:rPr>
          <w:t>Photos</w:t>
        </w:r>
        <w:proofErr w:type="spellEnd"/>
        <w:r w:rsidR="000F697F">
          <w:rPr>
            <w:rStyle w:val="Collegamentoipertestuale"/>
            <w:rFonts w:ascii="Helvetica" w:hAnsi="Helvetica"/>
            <w:lang w:val="it-IT"/>
          </w:rPr>
          <w:t xml:space="preserve"> of probe cards</w:t>
        </w:r>
      </w:hyperlink>
    </w:p>
    <w:p w14:paraId="7BE6F5C0" w14:textId="77777777" w:rsidR="008E0D16" w:rsidRPr="009A646F" w:rsidRDefault="008E0D16" w:rsidP="008E0D16">
      <w:pPr>
        <w:rPr>
          <w:rFonts w:ascii="Helvetica" w:hAnsi="Helvetica"/>
          <w:b/>
          <w:bCs/>
          <w:lang w:val="it-IT"/>
        </w:rPr>
      </w:pPr>
    </w:p>
    <w:p w14:paraId="512529B6" w14:textId="09593C91" w:rsidR="009D3DF6" w:rsidRPr="00FB5BF9" w:rsidRDefault="009D3DF6" w:rsidP="00FB5BF9">
      <w:pPr>
        <w:rPr>
          <w:rFonts w:ascii="Helvetica" w:hAnsi="Helvetica"/>
        </w:rPr>
      </w:pPr>
    </w:p>
    <w:sectPr w:rsidR="009D3DF6" w:rsidRPr="00FB5BF9">
      <w:pgSz w:w="12240" w:h="15840"/>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7068CE" w14:textId="77777777" w:rsidR="00B206AD" w:rsidRDefault="00B206AD">
      <w:pPr>
        <w:spacing w:after="0"/>
      </w:pPr>
      <w:r>
        <w:separator/>
      </w:r>
    </w:p>
  </w:endnote>
  <w:endnote w:type="continuationSeparator" w:id="0">
    <w:p w14:paraId="68D25979" w14:textId="77777777" w:rsidR="00B206AD" w:rsidRDefault="00B206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65FDB0" w14:textId="77777777" w:rsidR="00B206AD" w:rsidRDefault="00B206AD">
      <w:r>
        <w:separator/>
      </w:r>
    </w:p>
  </w:footnote>
  <w:footnote w:type="continuationSeparator" w:id="0">
    <w:p w14:paraId="6A078F17" w14:textId="77777777" w:rsidR="00B206AD" w:rsidRDefault="00B206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63344FF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D416043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143014915">
    <w:abstractNumId w:val="0"/>
  </w:num>
  <w:num w:numId="2" w16cid:durableId="63302944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DF6"/>
    <w:rsid w:val="00002EBF"/>
    <w:rsid w:val="00040E84"/>
    <w:rsid w:val="000F1B92"/>
    <w:rsid w:val="000F697F"/>
    <w:rsid w:val="001509EA"/>
    <w:rsid w:val="002D3AF0"/>
    <w:rsid w:val="00316407"/>
    <w:rsid w:val="003762B3"/>
    <w:rsid w:val="00440529"/>
    <w:rsid w:val="0049715E"/>
    <w:rsid w:val="00562016"/>
    <w:rsid w:val="00584C49"/>
    <w:rsid w:val="005A76DB"/>
    <w:rsid w:val="00662556"/>
    <w:rsid w:val="006678FA"/>
    <w:rsid w:val="00696449"/>
    <w:rsid w:val="006D3A28"/>
    <w:rsid w:val="007856F3"/>
    <w:rsid w:val="00792FEA"/>
    <w:rsid w:val="008A0D58"/>
    <w:rsid w:val="008A3AE6"/>
    <w:rsid w:val="008B1486"/>
    <w:rsid w:val="008E0D16"/>
    <w:rsid w:val="00910570"/>
    <w:rsid w:val="009D3DF6"/>
    <w:rsid w:val="00A54C50"/>
    <w:rsid w:val="00A70188"/>
    <w:rsid w:val="00AD6F0C"/>
    <w:rsid w:val="00B206AD"/>
    <w:rsid w:val="00B74C61"/>
    <w:rsid w:val="00C46940"/>
    <w:rsid w:val="00D94398"/>
    <w:rsid w:val="00DE32C0"/>
    <w:rsid w:val="00E74D9D"/>
    <w:rsid w:val="00EA48C4"/>
    <w:rsid w:val="00F035F5"/>
    <w:rsid w:val="00FB5BF9"/>
    <w:rsid w:val="00FB768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19A11"/>
  <w15:docId w15:val="{BA6ADC50-244A-AD4B-A758-B2727ADEF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Corpotesto"/>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itolo2">
    <w:name w:val="heading 2"/>
    <w:basedOn w:val="Normale"/>
    <w:next w:val="Corpotesto"/>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itolo3">
    <w:name w:val="heading 3"/>
    <w:basedOn w:val="Normale"/>
    <w:next w:val="Corpotesto"/>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Corpotesto"/>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Titolo5">
    <w:name w:val="heading 5"/>
    <w:basedOn w:val="Normale"/>
    <w:next w:val="Corpotesto"/>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Titolo6">
    <w:name w:val="heading 6"/>
    <w:basedOn w:val="Normale"/>
    <w:next w:val="Corpotesto"/>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itolo7">
    <w:name w:val="heading 7"/>
    <w:basedOn w:val="Normale"/>
    <w:next w:val="Corpotesto"/>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itolo8">
    <w:name w:val="heading 8"/>
    <w:basedOn w:val="Normale"/>
    <w:next w:val="Corpotesto"/>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itolo9">
    <w:name w:val="heading 9"/>
    <w:basedOn w:val="Normale"/>
    <w:next w:val="Corpotesto"/>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ottotitolo">
    <w:name w:val="Subtitle"/>
    <w:basedOn w:val="Titolo"/>
    <w:next w:val="Corpotesto"/>
    <w:qFormat/>
    <w:pPr>
      <w:spacing w:before="240"/>
    </w:pPr>
    <w:rPr>
      <w:sz w:val="30"/>
      <w:szCs w:val="30"/>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color w:val="345A8A"/>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4F81BD" w:themeColor="accent1"/>
    </w:rPr>
  </w:style>
  <w:style w:type="paragraph" w:styleId="Titolosommario">
    <w:name w:val="TOC Heading"/>
    <w:basedOn w:val="Titolo1"/>
    <w:next w:val="Corpotesto"/>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Grigliatabella">
    <w:name w:val="Table Grid"/>
    <w:basedOn w:val="Tabellanormale"/>
    <w:rsid w:val="00FB5BF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FB5BF9"/>
    <w:rPr>
      <w:color w:val="605E5C"/>
      <w:shd w:val="clear" w:color="auto" w:fill="E1DFDD"/>
    </w:rPr>
  </w:style>
  <w:style w:type="paragraph" w:styleId="Revisione">
    <w:name w:val="Revision"/>
    <w:hidden/>
    <w:rsid w:val="00316407"/>
    <w:pPr>
      <w:spacing w:after="0"/>
    </w:pPr>
  </w:style>
  <w:style w:type="character" w:styleId="Rimandocommento">
    <w:name w:val="annotation reference"/>
    <w:basedOn w:val="Carpredefinitoparagrafo"/>
    <w:rsid w:val="00316407"/>
    <w:rPr>
      <w:sz w:val="16"/>
      <w:szCs w:val="16"/>
    </w:rPr>
  </w:style>
  <w:style w:type="paragraph" w:styleId="Testocommento">
    <w:name w:val="annotation text"/>
    <w:basedOn w:val="Normale"/>
    <w:link w:val="TestocommentoCarattere"/>
    <w:rsid w:val="00316407"/>
    <w:rPr>
      <w:sz w:val="20"/>
      <w:szCs w:val="20"/>
    </w:rPr>
  </w:style>
  <w:style w:type="character" w:customStyle="1" w:styleId="TestocommentoCarattere">
    <w:name w:val="Testo commento Carattere"/>
    <w:basedOn w:val="Carpredefinitoparagrafo"/>
    <w:link w:val="Testocommento"/>
    <w:rsid w:val="00316407"/>
    <w:rPr>
      <w:sz w:val="20"/>
      <w:szCs w:val="20"/>
    </w:rPr>
  </w:style>
  <w:style w:type="paragraph" w:styleId="Soggettocommento">
    <w:name w:val="annotation subject"/>
    <w:basedOn w:val="Testocommento"/>
    <w:next w:val="Testocommento"/>
    <w:link w:val="SoggettocommentoCarattere"/>
    <w:rsid w:val="00316407"/>
    <w:rPr>
      <w:b/>
      <w:bCs/>
    </w:rPr>
  </w:style>
  <w:style w:type="character" w:customStyle="1" w:styleId="SoggettocommentoCarattere">
    <w:name w:val="Soggetto commento Carattere"/>
    <w:basedOn w:val="TestocommentoCarattere"/>
    <w:link w:val="Soggettocommento"/>
    <w:rsid w:val="00316407"/>
    <w:rPr>
      <w:b/>
      <w:bCs/>
      <w:sz w:val="20"/>
      <w:szCs w:val="20"/>
    </w:rPr>
  </w:style>
  <w:style w:type="character" w:styleId="Collegamentovisitato">
    <w:name w:val="FollowedHyperlink"/>
    <w:basedOn w:val="Carpredefinitoparagrafo"/>
    <w:rsid w:val="000F697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technoprobe.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chnoprobe.com/wp-content/uploads/2022/04/probe-cards-technoprobe.zip" TargetMode="External"/><Relationship Id="rId5" Type="http://schemas.openxmlformats.org/officeDocument/2006/relationships/webSettings" Target="webSettings.xml"/><Relationship Id="rId10" Type="http://schemas.openxmlformats.org/officeDocument/2006/relationships/hyperlink" Target="https://www.technoprobe.com/wp-content/uploads/2022/01/company-technoprobe.zip" TargetMode="External"/><Relationship Id="rId4" Type="http://schemas.openxmlformats.org/officeDocument/2006/relationships/settings" Target="settings.xml"/><Relationship Id="rId9" Type="http://schemas.openxmlformats.org/officeDocument/2006/relationships/hyperlink" Target="mailto:ir@technoprob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F621D-B098-E942-99DD-FD232FEB1687}">
  <ds:schemaRefs>
    <ds:schemaRef ds:uri="http://schemas.openxmlformats.org/officeDocument/2006/bibliography"/>
  </ds:schemaRefs>
</ds:datastoreItem>
</file>

<file path=docMetadata/LabelInfo.xml><?xml version="1.0" encoding="utf-8"?>
<clbl:labelList xmlns:clbl="http://schemas.microsoft.com/office/2020/mipLabelMetadata">
  <clbl:label id="{c15451bf-a221-41b2-bf91-8ea5fa47ec49}" enabled="0" method="" siteId="{c15451bf-a221-41b2-bf91-8ea5fa47ec49}"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557</Words>
  <Characters>3018</Characters>
  <Application>Microsoft Office Word</Application>
  <DocSecurity>0</DocSecurity>
  <Lines>56</Lines>
  <Paragraphs>15</Paragraphs>
  <ScaleCrop>false</ScaleCrop>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Paolo Cavallotti</dc:creator>
  <cp:keywords/>
  <cp:lastModifiedBy>Paolo Cavallotti</cp:lastModifiedBy>
  <cp:revision>8</cp:revision>
  <dcterms:created xsi:type="dcterms:W3CDTF">2026-09-03T07:35:00Z</dcterms:created>
  <dcterms:modified xsi:type="dcterms:W3CDTF">2026-09-03T09:34:00Z</dcterms:modified>
</cp:coreProperties>
</file>