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1976DC" w14:textId="6C52C9CF" w:rsidR="009D3DF6" w:rsidRPr="007856F3" w:rsidRDefault="00696449">
      <w:pPr>
        <w:pStyle w:val="Titolo3"/>
        <w:rPr>
          <w:rFonts w:ascii="Helvetica" w:hAnsi="Helvetica"/>
          <w:color w:val="1F497D" w:themeColor="text2"/>
          <w:sz w:val="28"/>
          <w:szCs w:val="28"/>
          <w:lang w:val="it-IT"/>
        </w:rPr>
      </w:pPr>
      <w:bookmarkStart w:id="0" w:name="X79c74f320fca3666b29b0f29355f703055bcd6c"/>
      <w:bookmarkStart w:id="1" w:name="X92f1b86402b79fbd35922e2cf316920c9cea780"/>
      <w:bookmarkStart w:id="2" w:name="X0638194232645b97b1d9d0a17f6ffd38754b236"/>
      <w:proofErr w:type="spellStart"/>
      <w:r>
        <w:rPr>
          <w:rFonts w:ascii="Helvetica" w:hAnsi="Helvetica"/>
          <w:color w:val="1F497D" w:themeColor="text2"/>
          <w:sz w:val="28"/>
          <w:szCs w:val="28"/>
          <w:lang w:val="it-IT"/>
        </w:rPr>
        <w:t>Technoprobe</w:t>
      </w:r>
      <w:proofErr w:type="spellEnd"/>
      <w:r>
        <w:rPr>
          <w:rFonts w:ascii="Helvetica" w:hAnsi="Helvetica"/>
          <w:color w:val="1F497D" w:themeColor="text2"/>
          <w:sz w:val="28"/>
          <w:szCs w:val="28"/>
          <w:lang w:val="it-IT"/>
        </w:rPr>
        <w:t xml:space="preserve"> entra nel FTSE MIB: </w:t>
      </w:r>
      <w:r w:rsidR="00440529">
        <w:rPr>
          <w:rFonts w:ascii="Helvetica" w:hAnsi="Helvetica"/>
          <w:color w:val="1F497D" w:themeColor="text2"/>
          <w:sz w:val="28"/>
          <w:szCs w:val="28"/>
          <w:lang w:val="it-IT"/>
        </w:rPr>
        <w:t>l</w:t>
      </w:r>
      <w:r w:rsidR="00792FEA" w:rsidRPr="00792FEA">
        <w:rPr>
          <w:rFonts w:ascii="Helvetica" w:hAnsi="Helvetica"/>
          <w:color w:val="1F497D" w:themeColor="text2"/>
          <w:sz w:val="28"/>
          <w:szCs w:val="28"/>
          <w:lang w:val="it-IT"/>
        </w:rPr>
        <w:t>’AI nel listino delle Blue Chip di Piazza Affari</w:t>
      </w:r>
    </w:p>
    <w:p w14:paraId="6AF19C48" w14:textId="76AB5BE0" w:rsidR="009D3DF6" w:rsidRPr="00FB5BF9" w:rsidRDefault="00696449">
      <w:pPr>
        <w:pStyle w:val="FirstParagraph"/>
        <w:rPr>
          <w:rFonts w:ascii="Helvetica" w:hAnsi="Helvetica"/>
          <w:lang w:val="it-IT"/>
        </w:rPr>
      </w:pPr>
      <w:r w:rsidRPr="009A646F">
        <w:rPr>
          <w:rFonts w:ascii="Helvetica" w:hAnsi="Helvetica"/>
          <w:i/>
          <w:iCs/>
          <w:lang w:val="it-IT"/>
        </w:rPr>
        <w:t>Cernusco Lombardone, 3 settembre 2026</w:t>
      </w:r>
      <w:r>
        <w:rPr>
          <w:rFonts w:ascii="Helvetica" w:hAnsi="Helvetica"/>
          <w:b/>
          <w:bCs/>
          <w:lang w:val="it-IT"/>
        </w:rPr>
        <w:t xml:space="preserve"> — </w:t>
      </w:r>
      <w:proofErr w:type="spellStart"/>
      <w:r>
        <w:rPr>
          <w:rFonts w:ascii="Helvetica" w:hAnsi="Helvetica"/>
          <w:lang w:val="it-IT"/>
        </w:rPr>
        <w:t>Technoprobe</w:t>
      </w:r>
      <w:proofErr w:type="spellEnd"/>
      <w:r>
        <w:rPr>
          <w:rFonts w:ascii="Helvetica" w:hAnsi="Helvetica"/>
          <w:lang w:val="it-IT"/>
        </w:rPr>
        <w:t xml:space="preserve"> S.p.A., leader mondiale nella progettazione e produzione di probe card per il collaudo dei semiconduttori, entra ufficialmente nel FTSE MIB, l’indice che raccoglie le </w:t>
      </w:r>
      <w:r w:rsidRPr="009A646F">
        <w:rPr>
          <w:rFonts w:ascii="Helvetica" w:hAnsi="Helvetica"/>
          <w:b/>
          <w:bCs/>
          <w:lang w:val="it-IT"/>
        </w:rPr>
        <w:t>40 maggiori società quotate a Piazza Affari</w:t>
      </w:r>
      <w:r>
        <w:rPr>
          <w:rFonts w:ascii="Helvetica" w:hAnsi="Helvetica"/>
          <w:lang w:val="it-IT"/>
        </w:rPr>
        <w:t xml:space="preserve">. L’ingresso, annunciato ieri da FTSE Russell nell’ambito della revisione trimestrale degli indici, sarà effettivo dal </w:t>
      </w:r>
      <w:r w:rsidR="005A76DB">
        <w:rPr>
          <w:rFonts w:ascii="Helvetica" w:hAnsi="Helvetica"/>
          <w:lang w:val="it-IT"/>
        </w:rPr>
        <w:t>21 settembre 2026.</w:t>
      </w:r>
    </w:p>
    <w:p w14:paraId="52055621" w14:textId="6177832D" w:rsidR="009D3DF6" w:rsidRPr="00FB5BF9" w:rsidRDefault="00696449">
      <w:pPr>
        <w:pStyle w:val="Corpotesto"/>
        <w:rPr>
          <w:rFonts w:ascii="Helvetica" w:hAnsi="Helvetica"/>
          <w:lang w:val="it-IT"/>
        </w:rPr>
      </w:pPr>
      <w:r>
        <w:rPr>
          <w:rFonts w:ascii="Helvetica" w:hAnsi="Helvetica"/>
          <w:lang w:val="it-IT"/>
        </w:rPr>
        <w:t xml:space="preserve">Si tratta di un traguardo </w:t>
      </w:r>
      <w:r w:rsidR="006D3A28">
        <w:rPr>
          <w:rFonts w:ascii="Helvetica" w:hAnsi="Helvetica"/>
          <w:lang w:val="it-IT"/>
        </w:rPr>
        <w:t>importante</w:t>
      </w:r>
      <w:r>
        <w:rPr>
          <w:rFonts w:ascii="Helvetica" w:hAnsi="Helvetica"/>
          <w:lang w:val="it-IT"/>
        </w:rPr>
        <w:t xml:space="preserve"> per l’industria tecnologica italiana: </w:t>
      </w:r>
      <w:proofErr w:type="spellStart"/>
      <w:r>
        <w:rPr>
          <w:rFonts w:ascii="Helvetica" w:hAnsi="Helvetica"/>
          <w:lang w:val="it-IT"/>
        </w:rPr>
        <w:t>Technoprobe</w:t>
      </w:r>
      <w:proofErr w:type="spellEnd"/>
      <w:r w:rsidR="000F1B92">
        <w:rPr>
          <w:rFonts w:ascii="Helvetica" w:hAnsi="Helvetica"/>
          <w:lang w:val="it-IT"/>
        </w:rPr>
        <w:t xml:space="preserve">, </w:t>
      </w:r>
      <w:r>
        <w:rPr>
          <w:rFonts w:ascii="Helvetica" w:hAnsi="Helvetica"/>
          <w:lang w:val="it-IT"/>
        </w:rPr>
        <w:t xml:space="preserve">azienda </w:t>
      </w:r>
      <w:r w:rsidR="00316407">
        <w:rPr>
          <w:rFonts w:ascii="Helvetica" w:hAnsi="Helvetica"/>
          <w:lang w:val="it-IT"/>
        </w:rPr>
        <w:t xml:space="preserve">direttamente esposta al ciclo </w:t>
      </w:r>
      <w:r>
        <w:rPr>
          <w:rFonts w:ascii="Helvetica" w:hAnsi="Helvetica"/>
          <w:lang w:val="it-IT"/>
        </w:rPr>
        <w:t>del settore semiconduttori</w:t>
      </w:r>
      <w:r w:rsidR="00316407">
        <w:rPr>
          <w:rFonts w:ascii="Helvetica" w:hAnsi="Helvetica"/>
          <w:lang w:val="it-IT"/>
        </w:rPr>
        <w:t>,</w:t>
      </w:r>
      <w:r>
        <w:rPr>
          <w:rFonts w:ascii="Helvetica" w:hAnsi="Helvetica"/>
          <w:lang w:val="it-IT"/>
        </w:rPr>
        <w:t xml:space="preserve"> microelettronica </w:t>
      </w:r>
      <w:r w:rsidR="00316407">
        <w:rPr>
          <w:rFonts w:ascii="Helvetica" w:hAnsi="Helvetica"/>
          <w:lang w:val="it-IT"/>
        </w:rPr>
        <w:t>ed intelligenza artificiale</w:t>
      </w:r>
      <w:r w:rsidR="000F1B92">
        <w:rPr>
          <w:rFonts w:ascii="Helvetica" w:hAnsi="Helvetica"/>
          <w:lang w:val="it-IT"/>
        </w:rPr>
        <w:t xml:space="preserve">, </w:t>
      </w:r>
      <w:r w:rsidR="00A70188">
        <w:rPr>
          <w:rFonts w:ascii="Helvetica" w:hAnsi="Helvetica"/>
          <w:lang w:val="it-IT"/>
        </w:rPr>
        <w:t>entra</w:t>
      </w:r>
      <w:r>
        <w:rPr>
          <w:rFonts w:ascii="Helvetica" w:hAnsi="Helvetica"/>
          <w:lang w:val="it-IT"/>
        </w:rPr>
        <w:t xml:space="preserve"> nel principale indice di Borsa Italiana</w:t>
      </w:r>
      <w:r w:rsidR="00316407">
        <w:rPr>
          <w:rFonts w:ascii="Helvetica" w:hAnsi="Helvetica"/>
          <w:lang w:val="it-IT"/>
        </w:rPr>
        <w:t xml:space="preserve"> </w:t>
      </w:r>
      <w:r>
        <w:rPr>
          <w:rFonts w:ascii="Helvetica" w:hAnsi="Helvetica"/>
          <w:lang w:val="it-IT"/>
        </w:rPr>
        <w:t xml:space="preserve">affiancando </w:t>
      </w:r>
      <w:r w:rsidR="00A70188">
        <w:rPr>
          <w:rFonts w:ascii="Helvetica" w:hAnsi="Helvetica"/>
          <w:lang w:val="it-IT"/>
        </w:rPr>
        <w:t xml:space="preserve">gli </w:t>
      </w:r>
      <w:r w:rsidR="00316407">
        <w:rPr>
          <w:rFonts w:ascii="Helvetica" w:hAnsi="Helvetica"/>
          <w:lang w:val="it-IT"/>
        </w:rPr>
        <w:t>alt</w:t>
      </w:r>
      <w:r w:rsidR="001509EA">
        <w:rPr>
          <w:rFonts w:ascii="Helvetica" w:hAnsi="Helvetica"/>
          <w:lang w:val="it-IT"/>
        </w:rPr>
        <w:t>r</w:t>
      </w:r>
      <w:r w:rsidR="00316407">
        <w:rPr>
          <w:rFonts w:ascii="Helvetica" w:hAnsi="Helvetica"/>
          <w:lang w:val="it-IT"/>
        </w:rPr>
        <w:t>i</w:t>
      </w:r>
      <w:r>
        <w:rPr>
          <w:rFonts w:ascii="Helvetica" w:hAnsi="Helvetica"/>
          <w:lang w:val="it-IT"/>
        </w:rPr>
        <w:t xml:space="preserve"> grandi nomi della finanza, dell’energia e dell’industria manifatturiera che tradizionalmente compongono il listino.</w:t>
      </w:r>
    </w:p>
    <w:p w14:paraId="31C614C5" w14:textId="1EC1C394" w:rsidR="009D3DF6" w:rsidRPr="00FB5BF9" w:rsidRDefault="00696449">
      <w:pPr>
        <w:pStyle w:val="Corpotesto"/>
        <w:rPr>
          <w:rFonts w:ascii="Helvetica" w:hAnsi="Helvetica"/>
          <w:lang w:val="it-IT"/>
        </w:rPr>
      </w:pPr>
      <w:r>
        <w:rPr>
          <w:rFonts w:ascii="Helvetica" w:hAnsi="Helvetica"/>
          <w:lang w:val="it-IT"/>
        </w:rPr>
        <w:t xml:space="preserve">Il percorso di </w:t>
      </w:r>
      <w:proofErr w:type="spellStart"/>
      <w:r>
        <w:rPr>
          <w:rFonts w:ascii="Helvetica" w:hAnsi="Helvetica"/>
          <w:lang w:val="it-IT"/>
        </w:rPr>
        <w:t>Technoprobe</w:t>
      </w:r>
      <w:proofErr w:type="spellEnd"/>
      <w:r>
        <w:rPr>
          <w:rFonts w:ascii="Helvetica" w:hAnsi="Helvetica"/>
          <w:lang w:val="it-IT"/>
        </w:rPr>
        <w:t xml:space="preserve"> verso questo risultato è cominciato nel febbraio 2022, con la quotazione su Euronext </w:t>
      </w:r>
      <w:proofErr w:type="spellStart"/>
      <w:r>
        <w:rPr>
          <w:rFonts w:ascii="Helvetica" w:hAnsi="Helvetica"/>
          <w:lang w:val="it-IT"/>
        </w:rPr>
        <w:t>Growth</w:t>
      </w:r>
      <w:proofErr w:type="spellEnd"/>
      <w:r>
        <w:rPr>
          <w:rFonts w:ascii="Helvetica" w:hAnsi="Helvetica"/>
          <w:lang w:val="it-IT"/>
        </w:rPr>
        <w:t xml:space="preserve"> Milan a 5,70 euro per azione, seguita nel maggio 2023 dal passaggio al mercato principale Euronext Milan. Da allora, il titolo ha registrato una crescita significativa, sostenuta da un’espansione del business guidata dal boom della domanda di chip per l’intelligenza artificiale: </w:t>
      </w:r>
      <w:r w:rsidR="00316407">
        <w:rPr>
          <w:rFonts w:ascii="Helvetica" w:hAnsi="Helvetica"/>
          <w:lang w:val="it-IT"/>
        </w:rPr>
        <w:t>l</w:t>
      </w:r>
      <w:r>
        <w:rPr>
          <w:rFonts w:ascii="Helvetica" w:hAnsi="Helvetica"/>
          <w:lang w:val="it-IT"/>
        </w:rPr>
        <w:t xml:space="preserve">o scorso 5 agosto la società ha rivisto al rialzo, per la seconda volta nel 2026, le stime per l’intero esercizio, portando il target di ricavi a un intervallo compreso tra 1.050 e 1.100 milioni di euro </w:t>
      </w:r>
      <w:r w:rsidR="00316407">
        <w:rPr>
          <w:rFonts w:ascii="Helvetica" w:hAnsi="Helvetica"/>
          <w:lang w:val="it-IT"/>
        </w:rPr>
        <w:t>con</w:t>
      </w:r>
      <w:r>
        <w:rPr>
          <w:rFonts w:ascii="Helvetica" w:hAnsi="Helvetica"/>
          <w:lang w:val="it-IT"/>
        </w:rPr>
        <w:t xml:space="preserve"> </w:t>
      </w:r>
      <w:r w:rsidR="00316407">
        <w:rPr>
          <w:rFonts w:ascii="Helvetica" w:hAnsi="Helvetica"/>
          <w:lang w:val="it-IT"/>
        </w:rPr>
        <w:t>un</w:t>
      </w:r>
      <w:r>
        <w:rPr>
          <w:rFonts w:ascii="Helvetica" w:hAnsi="Helvetica"/>
          <w:lang w:val="it-IT"/>
        </w:rPr>
        <w:t xml:space="preserve"> margine EBITDA atteso al 46-48%.</w:t>
      </w:r>
    </w:p>
    <w:p w14:paraId="10064AB6" w14:textId="739BEF83" w:rsidR="00316407" w:rsidRDefault="00316407">
      <w:pPr>
        <w:pStyle w:val="Corpotesto"/>
        <w:rPr>
          <w:rFonts w:ascii="Helvetica" w:hAnsi="Helvetica"/>
          <w:lang w:val="it-IT"/>
        </w:rPr>
      </w:pPr>
      <w:r>
        <w:rPr>
          <w:rFonts w:ascii="Helvetica" w:hAnsi="Helvetica"/>
          <w:lang w:val="it-IT"/>
        </w:rPr>
        <w:t xml:space="preserve">L’azienda è stata fondata nel 1996 da </w:t>
      </w:r>
      <w:r>
        <w:rPr>
          <w:rFonts w:ascii="Helvetica" w:hAnsi="Helvetica"/>
          <w:b/>
          <w:bCs/>
          <w:lang w:val="it-IT"/>
        </w:rPr>
        <w:t>Giuseppe Crippa</w:t>
      </w:r>
      <w:r>
        <w:rPr>
          <w:rFonts w:ascii="Helvetica" w:hAnsi="Helvetica"/>
          <w:lang w:val="it-IT"/>
        </w:rPr>
        <w:t>, scomparso il 5 luglio 2025 a 90 anni, dopo una lunga carriera in STMicroelectronics e la scelta, nel 1995, di dedicarsi a tempo pieno al progetto imprenditoriale nato anni prima nel tempo libero.</w:t>
      </w:r>
    </w:p>
    <w:p w14:paraId="7CE82C5C" w14:textId="2F98CE46" w:rsidR="009D3DF6" w:rsidRDefault="00316407">
      <w:pPr>
        <w:pStyle w:val="Corpotesto"/>
        <w:rPr>
          <w:rFonts w:ascii="Helvetica" w:hAnsi="Helvetica"/>
          <w:lang w:val="it-IT"/>
        </w:rPr>
      </w:pPr>
      <w:r>
        <w:rPr>
          <w:rFonts w:ascii="Helvetica" w:hAnsi="Helvetica"/>
          <w:lang w:val="it-IT"/>
        </w:rPr>
        <w:t xml:space="preserve">30 anni dopo, </w:t>
      </w:r>
      <w:proofErr w:type="spellStart"/>
      <w:r w:rsidR="00696449">
        <w:rPr>
          <w:rFonts w:ascii="Helvetica" w:hAnsi="Helvetica"/>
          <w:lang w:val="it-IT"/>
        </w:rPr>
        <w:t>Technoprobe</w:t>
      </w:r>
      <w:proofErr w:type="spellEnd"/>
      <w:r w:rsidR="00696449">
        <w:rPr>
          <w:rFonts w:ascii="Helvetica" w:hAnsi="Helvetica"/>
          <w:lang w:val="it-IT"/>
        </w:rPr>
        <w:t xml:space="preserve"> </w:t>
      </w:r>
      <w:r>
        <w:rPr>
          <w:rFonts w:ascii="Helvetica" w:hAnsi="Helvetica"/>
          <w:lang w:val="it-IT"/>
        </w:rPr>
        <w:t xml:space="preserve">rappresenta </w:t>
      </w:r>
      <w:r w:rsidR="00696449">
        <w:rPr>
          <w:rFonts w:ascii="Helvetica" w:hAnsi="Helvetica"/>
          <w:lang w:val="it-IT"/>
        </w:rPr>
        <w:t>oggi il primo produttore mondiale di probe card, i dispositivi ad alta tecnologia che consentono di testare il funzionamento dei chip durante il processo di produzione e nelle fasi di collaudo che precedono il packaging. Con sede a Cernusco Lombardone, in provincia di Lecco, il gruppo conta oggi circa 4.000 dipendenti, oltre 650 brevetti proprietari e una presenza produttiva e commerciale in undici Paesi su tre continenti, tra cui Francia, Germania, Stati Uniti, Cina, Taiwan, Corea del Sud, Giappone, Filippine, Malesia e Singapore.</w:t>
      </w:r>
    </w:p>
    <w:p w14:paraId="47BCE212" w14:textId="77777777" w:rsidR="00910570" w:rsidRPr="00FB5BF9" w:rsidRDefault="00910570">
      <w:pPr>
        <w:pStyle w:val="Corpotesto"/>
        <w:rPr>
          <w:rFonts w:ascii="Helvetica" w:hAnsi="Helvetica"/>
          <w:lang w:val="it-IT"/>
        </w:rPr>
      </w:pPr>
    </w:p>
    <w:p w14:paraId="71FACA58" w14:textId="3CF3CC21" w:rsidR="009D3DF6" w:rsidRPr="00FB5BF9" w:rsidRDefault="00696449">
      <w:pPr>
        <w:pStyle w:val="Corpotesto"/>
        <w:rPr>
          <w:rFonts w:ascii="Helvetica" w:hAnsi="Helvetica"/>
          <w:lang w:val="it-IT"/>
        </w:rPr>
      </w:pPr>
      <w:r>
        <w:rPr>
          <w:rFonts w:ascii="Helvetica" w:hAnsi="Helvetica"/>
          <w:i/>
          <w:iCs/>
          <w:lang w:val="it-IT"/>
        </w:rPr>
        <w:t xml:space="preserve">“L’ingresso nel FTSE MIB è un traguardo che appartiene prima di tutto alle persone che lavorano ogni giorno in </w:t>
      </w:r>
      <w:proofErr w:type="spellStart"/>
      <w:r>
        <w:rPr>
          <w:rFonts w:ascii="Helvetica" w:hAnsi="Helvetica"/>
          <w:i/>
          <w:iCs/>
          <w:lang w:val="it-IT"/>
        </w:rPr>
        <w:t>Technoprobe</w:t>
      </w:r>
      <w:proofErr w:type="spellEnd"/>
      <w:r>
        <w:rPr>
          <w:rFonts w:ascii="Helvetica" w:hAnsi="Helvetica"/>
          <w:i/>
          <w:iCs/>
          <w:lang w:val="it-IT"/>
        </w:rPr>
        <w:t>, in Italia e nel mondo. È anche il modo migliore per onorare la visione di Giuseppe Crippa, che trent’anni fa ha scommesso su un’idea e l’ha trasformata in un’eccellenza globale partendo da questo territorio. Oggi quella scommessa entra tra le quaranta società più rilevanti della Borsa italiana: per noi è un punto di partenza, non di arrivo e continueremo a investire con la stessa disciplina e la stessa attenzione alle persone che ci hanno portato fin qui.”</w:t>
      </w:r>
      <w:r>
        <w:rPr>
          <w:rFonts w:ascii="Helvetica" w:hAnsi="Helvetica"/>
          <w:lang w:val="it-IT"/>
        </w:rPr>
        <w:t xml:space="preserve"> </w:t>
      </w:r>
      <w:r>
        <w:rPr>
          <w:rFonts w:ascii="Helvetica" w:hAnsi="Helvetica"/>
          <w:i/>
          <w:iCs/>
          <w:lang w:val="it-IT"/>
        </w:rPr>
        <w:t xml:space="preserve">— Stefano Felici, Amministratore Delegato di </w:t>
      </w:r>
      <w:proofErr w:type="spellStart"/>
      <w:r>
        <w:rPr>
          <w:rFonts w:ascii="Helvetica" w:hAnsi="Helvetica"/>
          <w:i/>
          <w:iCs/>
          <w:lang w:val="it-IT"/>
        </w:rPr>
        <w:t>Technoprobe</w:t>
      </w:r>
      <w:proofErr w:type="spellEnd"/>
    </w:p>
    <w:p w14:paraId="2D54E6B0" w14:textId="363CDCDD" w:rsidR="009D3DF6" w:rsidRPr="00FB5BF9" w:rsidRDefault="00696449">
      <w:pPr>
        <w:pStyle w:val="Corpotesto"/>
        <w:rPr>
          <w:rFonts w:ascii="Helvetica" w:hAnsi="Helvetica"/>
          <w:lang w:val="it-IT"/>
        </w:rPr>
      </w:pPr>
      <w:r>
        <w:rPr>
          <w:rFonts w:ascii="Helvetica" w:hAnsi="Helvetica"/>
          <w:lang w:val="it-IT"/>
        </w:rPr>
        <w:t xml:space="preserve">L’ingresso nel FTSE MIB consolida la visibilità di </w:t>
      </w:r>
      <w:proofErr w:type="spellStart"/>
      <w:r>
        <w:rPr>
          <w:rFonts w:ascii="Helvetica" w:hAnsi="Helvetica"/>
          <w:lang w:val="it-IT"/>
        </w:rPr>
        <w:t>Technoprobe</w:t>
      </w:r>
      <w:proofErr w:type="spellEnd"/>
      <w:r>
        <w:rPr>
          <w:rFonts w:ascii="Helvetica" w:hAnsi="Helvetica"/>
          <w:lang w:val="it-IT"/>
        </w:rPr>
        <w:t xml:space="preserve"> presso la comunità finanziaria internazionale e mostra la capacità del sistema industriale italiano di generare campioni </w:t>
      </w:r>
      <w:r>
        <w:rPr>
          <w:rFonts w:ascii="Helvetica" w:hAnsi="Helvetica"/>
          <w:lang w:val="it-IT"/>
        </w:rPr>
        <w:lastRenderedPageBreak/>
        <w:t>tecnologici globali, anche in un settore — quello dei semiconduttori — storicamente dominato da player asiatici e statunitensi.</w:t>
      </w:r>
    </w:p>
    <w:p w14:paraId="67EA68F6" w14:textId="77777777" w:rsidR="00FB5BF9" w:rsidRPr="00FB5BF9" w:rsidRDefault="00FB5BF9">
      <w:pPr>
        <w:pStyle w:val="Corpotesto"/>
        <w:rPr>
          <w:rFonts w:ascii="Helvetica" w:hAnsi="Helvetica"/>
          <w:lang w:val="it-IT"/>
        </w:rPr>
      </w:pPr>
    </w:p>
    <w:p w14:paraId="1FE93ECF" w14:textId="73CB5F63" w:rsidR="00FB5BF9" w:rsidRPr="00FB5BF9" w:rsidRDefault="00FB5BF9" w:rsidP="00FB5BF9">
      <w:pPr>
        <w:rPr>
          <w:rFonts w:ascii="Helvetica" w:hAnsi="Helvetica"/>
          <w:b/>
          <w:bCs/>
          <w:lang w:val="it-IT"/>
        </w:rPr>
      </w:pPr>
      <w:bookmarkStart w:id="3" w:name="note-per-chi-userà-questa-bozza"/>
      <w:bookmarkEnd w:id="0"/>
      <w:bookmarkEnd w:id="1"/>
      <w:bookmarkEnd w:id="2"/>
      <w:bookmarkEnd w:id="3"/>
      <w:r>
        <w:rPr>
          <w:rFonts w:ascii="Helvetica" w:hAnsi="Helvetica"/>
          <w:b/>
          <w:bCs/>
          <w:lang w:val="it-IT"/>
        </w:rPr>
        <w:t xml:space="preserve">Contatti </w:t>
      </w:r>
    </w:p>
    <w:p w14:paraId="282E51C3" w14:textId="5841143A" w:rsidR="00FB5BF9" w:rsidRPr="00FB5BF9" w:rsidRDefault="00FB5BF9" w:rsidP="00FB5BF9">
      <w:pPr>
        <w:rPr>
          <w:rFonts w:ascii="Helvetica" w:hAnsi="Helvetica"/>
          <w:lang w:val="it-IT"/>
        </w:rPr>
      </w:pPr>
      <w:proofErr w:type="spellStart"/>
      <w:r>
        <w:rPr>
          <w:rFonts w:ascii="Helvetica" w:hAnsi="Helvetica"/>
          <w:lang w:val="it-IT"/>
        </w:rPr>
        <w:t>Communication</w:t>
      </w:r>
      <w:proofErr w:type="spellEnd"/>
      <w:r>
        <w:rPr>
          <w:rFonts w:ascii="Helvetica" w:hAnsi="Helvetica"/>
          <w:lang w:val="it-IT"/>
        </w:rPr>
        <w:t xml:space="preserve"> &amp; Marketing Manager </w:t>
      </w:r>
      <w:r>
        <w:rPr>
          <w:rFonts w:ascii="Helvetica" w:hAnsi="Helvetica"/>
          <w:lang w:val="it-IT"/>
        </w:rPr>
        <w:br/>
        <w:t xml:space="preserve">Paolo Cavallotti </w:t>
      </w:r>
      <w:r>
        <w:rPr>
          <w:rFonts w:ascii="Helvetica" w:hAnsi="Helvetica"/>
          <w:lang w:val="it-IT"/>
        </w:rPr>
        <w:br/>
      </w:r>
      <w:proofErr w:type="gramStart"/>
      <w:r>
        <w:rPr>
          <w:rFonts w:ascii="Helvetica" w:hAnsi="Helvetica"/>
          <w:lang w:val="it-IT"/>
        </w:rPr>
        <w:t>Email</w:t>
      </w:r>
      <w:proofErr w:type="gramEnd"/>
      <w:r>
        <w:rPr>
          <w:rFonts w:ascii="Helvetica" w:hAnsi="Helvetica"/>
          <w:lang w:val="it-IT"/>
        </w:rPr>
        <w:t xml:space="preserve">: </w:t>
      </w:r>
      <w:hyperlink r:id="rId8" w:history="1">
        <w:r>
          <w:rPr>
            <w:rStyle w:val="Collegamentoipertestuale"/>
            <w:rFonts w:ascii="Helvetica" w:hAnsi="Helvetica"/>
            <w:lang w:val="it-IT"/>
          </w:rPr>
          <w:t>press@technoprobe.com</w:t>
        </w:r>
      </w:hyperlink>
      <w:r>
        <w:rPr>
          <w:rFonts w:ascii="Helvetica" w:hAnsi="Helvetica"/>
          <w:lang w:val="it-IT"/>
        </w:rPr>
        <w:t xml:space="preserve"> </w:t>
      </w:r>
      <w:r>
        <w:rPr>
          <w:rFonts w:ascii="Helvetica" w:hAnsi="Helvetica"/>
          <w:lang w:val="it-IT"/>
        </w:rPr>
        <w:br/>
        <w:t>Mob. +39 342 515 5261</w:t>
      </w:r>
    </w:p>
    <w:p w14:paraId="5CFE6A22" w14:textId="320839AC" w:rsidR="00FB5BF9" w:rsidRDefault="00FB5BF9" w:rsidP="00FB5BF9">
      <w:pPr>
        <w:rPr>
          <w:rFonts w:ascii="Helvetica" w:hAnsi="Helvetica"/>
          <w:lang w:val="it-IT"/>
        </w:rPr>
      </w:pPr>
      <w:r>
        <w:rPr>
          <w:rFonts w:ascii="Helvetica" w:hAnsi="Helvetica"/>
          <w:lang w:val="it-IT"/>
        </w:rPr>
        <w:t>Investor Relator</w:t>
      </w:r>
      <w:r>
        <w:rPr>
          <w:rFonts w:ascii="Helvetica" w:hAnsi="Helvetica"/>
          <w:lang w:val="it-IT"/>
        </w:rPr>
        <w:br/>
        <w:t>Ines Di Terlizzi</w:t>
      </w:r>
      <w:r>
        <w:rPr>
          <w:rFonts w:ascii="Helvetica" w:hAnsi="Helvetica"/>
          <w:lang w:val="it-IT"/>
        </w:rPr>
        <w:br/>
      </w:r>
      <w:proofErr w:type="gramStart"/>
      <w:r>
        <w:rPr>
          <w:rFonts w:ascii="Helvetica" w:hAnsi="Helvetica"/>
          <w:lang w:val="it-IT"/>
        </w:rPr>
        <w:t>Email</w:t>
      </w:r>
      <w:proofErr w:type="gramEnd"/>
      <w:r>
        <w:rPr>
          <w:rFonts w:ascii="Helvetica" w:hAnsi="Helvetica"/>
          <w:lang w:val="it-IT"/>
        </w:rPr>
        <w:t xml:space="preserve">: </w:t>
      </w:r>
      <w:hyperlink r:id="rId9" w:history="1">
        <w:r>
          <w:rPr>
            <w:rStyle w:val="Collegamentoipertestuale"/>
            <w:rFonts w:ascii="Helvetica" w:hAnsi="Helvetica"/>
            <w:lang w:val="it-IT"/>
          </w:rPr>
          <w:t>ir@technoprobe.com</w:t>
        </w:r>
      </w:hyperlink>
      <w:r>
        <w:rPr>
          <w:rFonts w:ascii="Helvetica" w:hAnsi="Helvetica"/>
          <w:lang w:val="it-IT"/>
        </w:rPr>
        <w:t xml:space="preserve"> </w:t>
      </w:r>
    </w:p>
    <w:p w14:paraId="16947BB0" w14:textId="77777777" w:rsidR="009A646F" w:rsidRDefault="009A646F" w:rsidP="00FB5BF9">
      <w:pPr>
        <w:rPr>
          <w:rFonts w:ascii="Helvetica" w:hAnsi="Helvetica"/>
          <w:lang w:val="it-IT"/>
        </w:rPr>
      </w:pPr>
    </w:p>
    <w:p w14:paraId="567F4472" w14:textId="77777777" w:rsidR="00F65DCB" w:rsidRDefault="009A646F" w:rsidP="00FB5BF9">
      <w:pPr>
        <w:rPr>
          <w:rFonts w:ascii="Helvetica" w:hAnsi="Helvetica"/>
          <w:b/>
          <w:bCs/>
          <w:lang w:val="it-IT"/>
        </w:rPr>
      </w:pPr>
      <w:r w:rsidRPr="009A646F">
        <w:rPr>
          <w:rFonts w:ascii="Helvetica" w:hAnsi="Helvetica"/>
          <w:b/>
          <w:bCs/>
          <w:lang w:val="it-IT"/>
        </w:rPr>
        <w:t xml:space="preserve">Foto </w:t>
      </w:r>
    </w:p>
    <w:p w14:paraId="630893BD" w14:textId="2BAA97EC" w:rsidR="009A646F" w:rsidRDefault="00F65DCB" w:rsidP="00FB5BF9">
      <w:pPr>
        <w:rPr>
          <w:rFonts w:ascii="Helvetica" w:hAnsi="Helvetica"/>
          <w:lang w:val="it-IT"/>
        </w:rPr>
      </w:pPr>
      <w:hyperlink r:id="rId10" w:history="1">
        <w:r w:rsidRPr="00F65DCB">
          <w:rPr>
            <w:rStyle w:val="Collegamentoipertestuale"/>
            <w:rFonts w:ascii="Helvetica" w:hAnsi="Helvetica"/>
            <w:lang w:val="it-IT"/>
          </w:rPr>
          <w:t xml:space="preserve">Foto </w:t>
        </w:r>
        <w:r w:rsidR="009A646F" w:rsidRPr="00F65DCB">
          <w:rPr>
            <w:rStyle w:val="Collegamentoipertestuale"/>
            <w:rFonts w:ascii="Helvetica" w:hAnsi="Helvetica"/>
            <w:lang w:val="it-IT"/>
          </w:rPr>
          <w:t xml:space="preserve">di </w:t>
        </w:r>
        <w:proofErr w:type="spellStart"/>
        <w:r w:rsidR="009A646F" w:rsidRPr="00F65DCB">
          <w:rPr>
            <w:rStyle w:val="Collegamentoipertestuale"/>
            <w:rFonts w:ascii="Helvetica" w:hAnsi="Helvetica"/>
            <w:lang w:val="it-IT"/>
          </w:rPr>
          <w:t>Technoprobe</w:t>
        </w:r>
        <w:proofErr w:type="spellEnd"/>
      </w:hyperlink>
    </w:p>
    <w:p w14:paraId="41F5F83B" w14:textId="5B115621" w:rsidR="00F65DCB" w:rsidRPr="00F65DCB" w:rsidRDefault="00F65DCB" w:rsidP="00FB5BF9">
      <w:pPr>
        <w:rPr>
          <w:rFonts w:ascii="Helvetica" w:hAnsi="Helvetica"/>
          <w:lang w:val="it-IT"/>
        </w:rPr>
      </w:pPr>
      <w:hyperlink r:id="rId11" w:history="1">
        <w:r w:rsidRPr="00F65DCB">
          <w:rPr>
            <w:rStyle w:val="Collegamentoipertestuale"/>
            <w:rFonts w:ascii="Helvetica" w:hAnsi="Helvetica"/>
            <w:lang w:val="it-IT"/>
          </w:rPr>
          <w:t>Foto di probe cards</w:t>
        </w:r>
      </w:hyperlink>
    </w:p>
    <w:p w14:paraId="04B50315" w14:textId="77777777" w:rsidR="009A646F" w:rsidRPr="009A646F" w:rsidRDefault="009A646F" w:rsidP="00FB5BF9">
      <w:pPr>
        <w:rPr>
          <w:rFonts w:ascii="Helvetica" w:hAnsi="Helvetica"/>
          <w:b/>
          <w:bCs/>
          <w:lang w:val="it-IT"/>
        </w:rPr>
      </w:pPr>
    </w:p>
    <w:p w14:paraId="512529B6" w14:textId="09593C91" w:rsidR="009D3DF6" w:rsidRPr="00FB5BF9" w:rsidRDefault="009D3DF6" w:rsidP="00FB5BF9">
      <w:pPr>
        <w:rPr>
          <w:rFonts w:ascii="Helvetica" w:hAnsi="Helvetica"/>
          <w:lang w:val="it-IT"/>
        </w:rPr>
      </w:pPr>
    </w:p>
    <w:sectPr w:rsidR="009D3DF6" w:rsidRPr="00FB5BF9">
      <w:pgSz w:w="12240" w:h="15840"/>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50AA54" w14:textId="77777777" w:rsidR="00B67751" w:rsidRDefault="00B67751">
      <w:pPr>
        <w:spacing w:after="0"/>
      </w:pPr>
      <w:r>
        <w:separator/>
      </w:r>
    </w:p>
  </w:endnote>
  <w:endnote w:type="continuationSeparator" w:id="0">
    <w:p w14:paraId="6485E727" w14:textId="77777777" w:rsidR="00B67751" w:rsidRDefault="00B677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F08CDA" w14:textId="77777777" w:rsidR="00B67751" w:rsidRDefault="00B67751">
      <w:r>
        <w:separator/>
      </w:r>
    </w:p>
  </w:footnote>
  <w:footnote w:type="continuationSeparator" w:id="0">
    <w:p w14:paraId="421A0FC6" w14:textId="77777777" w:rsidR="00B67751" w:rsidRDefault="00B677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63344FF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D416043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43014915">
    <w:abstractNumId w:val="0"/>
  </w:num>
  <w:num w:numId="2" w16cid:durableId="6330294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DF6"/>
    <w:rsid w:val="00002EBF"/>
    <w:rsid w:val="00040E84"/>
    <w:rsid w:val="000C12A8"/>
    <w:rsid w:val="000F1B92"/>
    <w:rsid w:val="0010087B"/>
    <w:rsid w:val="001509EA"/>
    <w:rsid w:val="002D3AF0"/>
    <w:rsid w:val="00316407"/>
    <w:rsid w:val="003762B3"/>
    <w:rsid w:val="00440529"/>
    <w:rsid w:val="0049715E"/>
    <w:rsid w:val="00584C49"/>
    <w:rsid w:val="005A76DB"/>
    <w:rsid w:val="00662556"/>
    <w:rsid w:val="006678FA"/>
    <w:rsid w:val="00696449"/>
    <w:rsid w:val="006D3A28"/>
    <w:rsid w:val="007856F3"/>
    <w:rsid w:val="00792FEA"/>
    <w:rsid w:val="008A0D58"/>
    <w:rsid w:val="008A3AE6"/>
    <w:rsid w:val="008B1486"/>
    <w:rsid w:val="00910570"/>
    <w:rsid w:val="009A646F"/>
    <w:rsid w:val="009D3DF6"/>
    <w:rsid w:val="00A70188"/>
    <w:rsid w:val="00AD6F0C"/>
    <w:rsid w:val="00B67751"/>
    <w:rsid w:val="00B74C61"/>
    <w:rsid w:val="00BE363D"/>
    <w:rsid w:val="00C46940"/>
    <w:rsid w:val="00D94398"/>
    <w:rsid w:val="00DE32C0"/>
    <w:rsid w:val="00E74D9D"/>
    <w:rsid w:val="00EA48C4"/>
    <w:rsid w:val="00F65DCB"/>
    <w:rsid w:val="00FB5BF9"/>
    <w:rsid w:val="00FB768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19A11"/>
  <w15:docId w15:val="{BA6ADC50-244A-AD4B-A758-B2727ADEF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Corpotesto"/>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itolo2">
    <w:name w:val="heading 2"/>
    <w:basedOn w:val="Normale"/>
    <w:next w:val="Corpotesto"/>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itolo3">
    <w:name w:val="heading 3"/>
    <w:basedOn w:val="Normale"/>
    <w:next w:val="Corpotesto"/>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Corpotesto"/>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itolo5">
    <w:name w:val="heading 5"/>
    <w:basedOn w:val="Normale"/>
    <w:next w:val="Corpotesto"/>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itolo6">
    <w:name w:val="heading 6"/>
    <w:basedOn w:val="Normale"/>
    <w:next w:val="Corpotesto"/>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olo7">
    <w:name w:val="heading 7"/>
    <w:basedOn w:val="Normale"/>
    <w:next w:val="Corpotesto"/>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olo8">
    <w:name w:val="heading 8"/>
    <w:basedOn w:val="Normale"/>
    <w:next w:val="Corpotesto"/>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olo9">
    <w:name w:val="heading 9"/>
    <w:basedOn w:val="Normale"/>
    <w:next w:val="Corpotesto"/>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ttotitolo">
    <w:name w:val="Subtitle"/>
    <w:basedOn w:val="Titolo"/>
    <w:next w:val="Corpotesto"/>
    <w:qFormat/>
    <w:pPr>
      <w:spacing w:before="240"/>
    </w:pPr>
    <w:rPr>
      <w:sz w:val="30"/>
      <w:szCs w:val="30"/>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color w:val="345A8A"/>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4F81BD" w:themeColor="accent1"/>
    </w:rPr>
  </w:style>
  <w:style w:type="paragraph" w:styleId="Titolosommario">
    <w:name w:val="TOC Heading"/>
    <w:basedOn w:val="Titolo1"/>
    <w:next w:val="Corpotesto"/>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Grigliatabella">
    <w:name w:val="Table Grid"/>
    <w:basedOn w:val="Tabellanormale"/>
    <w:rsid w:val="00FB5BF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B5BF9"/>
    <w:rPr>
      <w:color w:val="605E5C"/>
      <w:shd w:val="clear" w:color="auto" w:fill="E1DFDD"/>
    </w:rPr>
  </w:style>
  <w:style w:type="paragraph" w:styleId="Revisione">
    <w:name w:val="Revision"/>
    <w:hidden/>
    <w:rsid w:val="00316407"/>
    <w:pPr>
      <w:spacing w:after="0"/>
    </w:pPr>
  </w:style>
  <w:style w:type="character" w:styleId="Rimandocommento">
    <w:name w:val="annotation reference"/>
    <w:basedOn w:val="Carpredefinitoparagrafo"/>
    <w:rsid w:val="00316407"/>
    <w:rPr>
      <w:sz w:val="16"/>
      <w:szCs w:val="16"/>
    </w:rPr>
  </w:style>
  <w:style w:type="paragraph" w:styleId="Testocommento">
    <w:name w:val="annotation text"/>
    <w:basedOn w:val="Normale"/>
    <w:link w:val="TestocommentoCarattere"/>
    <w:rsid w:val="00316407"/>
    <w:rPr>
      <w:sz w:val="20"/>
      <w:szCs w:val="20"/>
    </w:rPr>
  </w:style>
  <w:style w:type="character" w:customStyle="1" w:styleId="TestocommentoCarattere">
    <w:name w:val="Testo commento Carattere"/>
    <w:basedOn w:val="Carpredefinitoparagrafo"/>
    <w:link w:val="Testocommento"/>
    <w:rsid w:val="00316407"/>
    <w:rPr>
      <w:sz w:val="20"/>
      <w:szCs w:val="20"/>
    </w:rPr>
  </w:style>
  <w:style w:type="paragraph" w:styleId="Soggettocommento">
    <w:name w:val="annotation subject"/>
    <w:basedOn w:val="Testocommento"/>
    <w:next w:val="Testocommento"/>
    <w:link w:val="SoggettocommentoCarattere"/>
    <w:rsid w:val="00316407"/>
    <w:rPr>
      <w:b/>
      <w:bCs/>
    </w:rPr>
  </w:style>
  <w:style w:type="character" w:customStyle="1" w:styleId="SoggettocommentoCarattere">
    <w:name w:val="Soggetto commento Carattere"/>
    <w:basedOn w:val="TestocommentoCarattere"/>
    <w:link w:val="Soggettocommento"/>
    <w:rsid w:val="003164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technoprobe.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chnoprobe.com/wp-content/uploads/2022/04/probe-cards-technoprobe.zip" TargetMode="External"/><Relationship Id="rId5" Type="http://schemas.openxmlformats.org/officeDocument/2006/relationships/webSettings" Target="webSettings.xml"/><Relationship Id="rId10" Type="http://schemas.openxmlformats.org/officeDocument/2006/relationships/hyperlink" Target="https://www.technoprobe.com/wp-content/uploads/2022/01/company-technoprobe.zip" TargetMode="External"/><Relationship Id="rId4" Type="http://schemas.openxmlformats.org/officeDocument/2006/relationships/settings" Target="settings.xml"/><Relationship Id="rId9" Type="http://schemas.openxmlformats.org/officeDocument/2006/relationships/hyperlink" Target="mailto:ir@technoprob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F621D-B098-E942-99DD-FD232FEB1687}">
  <ds:schemaRefs>
    <ds:schemaRef ds:uri="http://schemas.openxmlformats.org/officeDocument/2006/bibliography"/>
  </ds:schemaRefs>
</ds:datastoreItem>
</file>

<file path=docMetadata/LabelInfo.xml><?xml version="1.0" encoding="utf-8"?>
<clbl:labelList xmlns:clbl="http://schemas.microsoft.com/office/2020/mipLabelMetadata">
  <clbl:label id="{c15451bf-a221-41b2-bf91-8ea5fa47ec49}" enabled="0" method="" siteId="{c15451bf-a221-41b2-bf91-8ea5fa47ec49}"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521</Words>
  <Characters>2981</Characters>
  <Application>Microsoft Office Word</Application>
  <DocSecurity>0</DocSecurity>
  <Lines>56</Lines>
  <Paragraphs>14</Paragraphs>
  <ScaleCrop>false</ScaleCrop>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Paolo Cavallotti</dc:creator>
  <cp:keywords/>
  <cp:lastModifiedBy>Paolo Cavallotti</cp:lastModifiedBy>
  <cp:revision>8</cp:revision>
  <dcterms:created xsi:type="dcterms:W3CDTF">2026-09-03T07:35:00Z</dcterms:created>
  <dcterms:modified xsi:type="dcterms:W3CDTF">2026-09-03T09:30:00Z</dcterms:modified>
</cp:coreProperties>
</file>